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52880" w14:paraId="2DE3DF37" w14:textId="77777777">
        <w:trPr>
          <w:tblCellSpacing w:w="60" w:type="dxa"/>
        </w:trPr>
        <w:tc>
          <w:tcPr>
            <w:tcW w:w="1200" w:type="pct"/>
            <w:shd w:val="clear" w:color="auto" w:fill="E7F0F9"/>
          </w:tcPr>
          <w:p w14:paraId="7B3709A6" w14:textId="77777777" w:rsidR="00752880" w:rsidRDefault="00000000">
            <w:pPr>
              <w:spacing w:after="0" w:line="240" w:lineRule="auto"/>
            </w:pPr>
            <w:r>
              <w:rPr>
                <w:b/>
              </w:rPr>
              <w:t>RKP broj</w:t>
            </w:r>
          </w:p>
        </w:tc>
        <w:tc>
          <w:tcPr>
            <w:tcW w:w="0" w:type="auto"/>
            <w:shd w:val="clear" w:color="auto" w:fill="E7F0F9"/>
          </w:tcPr>
          <w:p w14:paraId="097A24D6" w14:textId="77777777" w:rsidR="00752880" w:rsidRDefault="00000000">
            <w:pPr>
              <w:spacing w:after="0" w:line="240" w:lineRule="auto"/>
            </w:pPr>
            <w:r>
              <w:t>51441</w:t>
            </w:r>
          </w:p>
        </w:tc>
      </w:tr>
      <w:tr w:rsidR="00752880" w14:paraId="6E5549EA" w14:textId="77777777">
        <w:trPr>
          <w:tblCellSpacing w:w="60" w:type="dxa"/>
        </w:trPr>
        <w:tc>
          <w:tcPr>
            <w:tcW w:w="1200" w:type="pct"/>
            <w:shd w:val="clear" w:color="auto" w:fill="E7F0F9"/>
          </w:tcPr>
          <w:p w14:paraId="19F700AC" w14:textId="77777777" w:rsidR="00752880" w:rsidRDefault="00000000">
            <w:pPr>
              <w:spacing w:after="0" w:line="240" w:lineRule="auto"/>
            </w:pPr>
            <w:r>
              <w:rPr>
                <w:b/>
              </w:rPr>
              <w:t>Naziv obveznika</w:t>
            </w:r>
          </w:p>
        </w:tc>
        <w:tc>
          <w:tcPr>
            <w:tcW w:w="0" w:type="auto"/>
            <w:shd w:val="clear" w:color="auto" w:fill="E7F0F9"/>
          </w:tcPr>
          <w:p w14:paraId="33E18919" w14:textId="77777777" w:rsidR="00752880" w:rsidRDefault="00000000">
            <w:pPr>
              <w:spacing w:after="0" w:line="240" w:lineRule="auto"/>
            </w:pPr>
            <w:r>
              <w:t xml:space="preserve">MINISTARSTVO PRAVOSUĐA, UPRAVE I DIGITALNE TRANSFORMACIJE </w:t>
            </w:r>
          </w:p>
        </w:tc>
      </w:tr>
      <w:tr w:rsidR="00752880" w14:paraId="3827AAF1" w14:textId="77777777">
        <w:trPr>
          <w:tblCellSpacing w:w="60" w:type="dxa"/>
        </w:trPr>
        <w:tc>
          <w:tcPr>
            <w:tcW w:w="1200" w:type="pct"/>
            <w:shd w:val="clear" w:color="auto" w:fill="E7F0F9"/>
          </w:tcPr>
          <w:p w14:paraId="59017AEF" w14:textId="77777777" w:rsidR="00752880" w:rsidRDefault="00000000">
            <w:pPr>
              <w:spacing w:after="0" w:line="240" w:lineRule="auto"/>
            </w:pPr>
            <w:r>
              <w:rPr>
                <w:b/>
              </w:rPr>
              <w:t>Razina</w:t>
            </w:r>
          </w:p>
        </w:tc>
        <w:tc>
          <w:tcPr>
            <w:tcW w:w="0" w:type="auto"/>
            <w:shd w:val="clear" w:color="auto" w:fill="E7F0F9"/>
          </w:tcPr>
          <w:p w14:paraId="28D61671" w14:textId="77777777" w:rsidR="00752880" w:rsidRDefault="00000000">
            <w:pPr>
              <w:spacing w:after="0" w:line="240" w:lineRule="auto"/>
            </w:pPr>
            <w:r>
              <w:t>11</w:t>
            </w:r>
          </w:p>
        </w:tc>
      </w:tr>
    </w:tbl>
    <w:p w14:paraId="64D5BABD" w14:textId="77777777" w:rsidR="00752880" w:rsidRDefault="00000000">
      <w:r>
        <w:br/>
      </w:r>
    </w:p>
    <w:p w14:paraId="7669C0AB" w14:textId="77777777" w:rsidR="00752880" w:rsidRDefault="00000000">
      <w:pPr>
        <w:spacing w:line="240" w:lineRule="auto"/>
        <w:jc w:val="center"/>
      </w:pPr>
      <w:r>
        <w:rPr>
          <w:b/>
          <w:sz w:val="28"/>
        </w:rPr>
        <w:t>BILJEŠKE UZ FINANCIJSKE IZVJEŠTAJE</w:t>
      </w:r>
    </w:p>
    <w:p w14:paraId="5211626C" w14:textId="77777777" w:rsidR="00752880" w:rsidRDefault="00000000">
      <w:pPr>
        <w:spacing w:line="240" w:lineRule="auto"/>
        <w:jc w:val="center"/>
      </w:pPr>
      <w:r>
        <w:rPr>
          <w:b/>
          <w:sz w:val="28"/>
        </w:rPr>
        <w:t>ZA RAZDOBLJE</w:t>
      </w:r>
    </w:p>
    <w:p w14:paraId="7FF99E46" w14:textId="77777777" w:rsidR="00752880" w:rsidRDefault="00000000">
      <w:pPr>
        <w:spacing w:line="240" w:lineRule="auto"/>
        <w:jc w:val="center"/>
      </w:pPr>
      <w:r>
        <w:rPr>
          <w:b/>
          <w:sz w:val="28"/>
        </w:rPr>
        <w:t>I - XII 2025.</w:t>
      </w:r>
    </w:p>
    <w:p w14:paraId="2639E9DA" w14:textId="77777777" w:rsidR="00752880" w:rsidRDefault="00752880"/>
    <w:p w14:paraId="16CD24F1" w14:textId="77777777" w:rsidR="00752880" w:rsidRDefault="00000000">
      <w:pPr>
        <w:keepNext/>
        <w:spacing w:line="240" w:lineRule="auto"/>
        <w:jc w:val="center"/>
      </w:pPr>
      <w:r>
        <w:rPr>
          <w:b/>
          <w:sz w:val="28"/>
        </w:rPr>
        <w:t>Izvještaj o prihodima i rashodima, primicima i izdacima</w:t>
      </w:r>
    </w:p>
    <w:p w14:paraId="570EF5BC" w14:textId="77777777" w:rsidR="0075288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880" w14:paraId="1BFDC1D6" w14:textId="77777777">
        <w:trPr>
          <w:cantSplit/>
        </w:trPr>
        <w:tc>
          <w:tcPr>
            <w:tcW w:w="700" w:type="dxa"/>
            <w:shd w:val="clear" w:color="auto" w:fill="E7F0F9"/>
            <w:tcMar>
              <w:top w:w="0" w:type="dxa"/>
              <w:bottom w:w="0" w:type="dxa"/>
            </w:tcMar>
            <w:vAlign w:val="center"/>
          </w:tcPr>
          <w:p w14:paraId="73F6125F" w14:textId="77777777" w:rsidR="007528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2BC7FD" w14:textId="77777777" w:rsidR="007528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A409F5" w14:textId="77777777" w:rsidR="007528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1EB5B3" w14:textId="77777777" w:rsidR="007528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2D689F" w14:textId="77777777" w:rsidR="007528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137860" w14:textId="77777777" w:rsidR="00752880" w:rsidRDefault="00000000">
            <w:pPr>
              <w:keepNext/>
              <w:keepLines/>
              <w:spacing w:after="0" w:line="240" w:lineRule="auto"/>
              <w:jc w:val="center"/>
            </w:pPr>
            <w:r>
              <w:rPr>
                <w:b/>
                <w:sz w:val="18"/>
              </w:rPr>
              <w:t>Indeks (%)</w:t>
            </w:r>
          </w:p>
        </w:tc>
      </w:tr>
      <w:tr w:rsidR="00752880" w14:paraId="4B66085E" w14:textId="77777777">
        <w:trPr>
          <w:cantSplit/>
          <w:trHeight w:val="560"/>
        </w:trPr>
        <w:tc>
          <w:tcPr>
            <w:tcW w:w="700" w:type="dxa"/>
            <w:tcMar>
              <w:top w:w="0" w:type="dxa"/>
              <w:bottom w:w="0" w:type="dxa"/>
            </w:tcMar>
            <w:vAlign w:val="center"/>
          </w:tcPr>
          <w:p w14:paraId="7101E2BD" w14:textId="77777777" w:rsidR="00752880" w:rsidRDefault="00000000">
            <w:pPr>
              <w:keepNext/>
              <w:keepLines/>
              <w:spacing w:after="0" w:line="240" w:lineRule="auto"/>
            </w:pPr>
            <w:r>
              <w:rPr>
                <w:sz w:val="18"/>
              </w:rPr>
              <w:t>6</w:t>
            </w:r>
          </w:p>
        </w:tc>
        <w:tc>
          <w:tcPr>
            <w:tcW w:w="3180" w:type="dxa"/>
            <w:tcMar>
              <w:top w:w="0" w:type="dxa"/>
              <w:bottom w:w="0" w:type="dxa"/>
            </w:tcMar>
            <w:vAlign w:val="center"/>
          </w:tcPr>
          <w:p w14:paraId="70646F1C" w14:textId="77777777" w:rsidR="0075288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8076827" w14:textId="77777777" w:rsidR="00752880" w:rsidRDefault="00000000">
            <w:pPr>
              <w:keepNext/>
              <w:keepLines/>
              <w:spacing w:after="0" w:line="240" w:lineRule="auto"/>
            </w:pPr>
            <w:r>
              <w:rPr>
                <w:sz w:val="18"/>
              </w:rPr>
              <w:t>6</w:t>
            </w:r>
          </w:p>
        </w:tc>
        <w:tc>
          <w:tcPr>
            <w:tcW w:w="1860" w:type="dxa"/>
            <w:tcMar>
              <w:top w:w="0" w:type="dxa"/>
              <w:bottom w:w="0" w:type="dxa"/>
            </w:tcMar>
            <w:vAlign w:val="center"/>
          </w:tcPr>
          <w:p w14:paraId="2F33780F" w14:textId="77777777" w:rsidR="00752880" w:rsidRDefault="00000000">
            <w:pPr>
              <w:keepNext/>
              <w:keepLines/>
              <w:spacing w:after="0" w:line="240" w:lineRule="auto"/>
              <w:jc w:val="right"/>
            </w:pPr>
            <w:r>
              <w:rPr>
                <w:sz w:val="18"/>
              </w:rPr>
              <w:t>172.033.353,86</w:t>
            </w:r>
          </w:p>
        </w:tc>
        <w:tc>
          <w:tcPr>
            <w:tcW w:w="1860" w:type="dxa"/>
            <w:tcMar>
              <w:top w:w="0" w:type="dxa"/>
              <w:bottom w:w="0" w:type="dxa"/>
            </w:tcMar>
            <w:vAlign w:val="center"/>
          </w:tcPr>
          <w:p w14:paraId="6491B3C2" w14:textId="77777777" w:rsidR="00752880" w:rsidRDefault="00000000">
            <w:pPr>
              <w:keepNext/>
              <w:keepLines/>
              <w:spacing w:after="0" w:line="240" w:lineRule="auto"/>
              <w:jc w:val="right"/>
            </w:pPr>
            <w:r>
              <w:rPr>
                <w:sz w:val="18"/>
              </w:rPr>
              <w:t>256.764.222,99</w:t>
            </w:r>
          </w:p>
        </w:tc>
        <w:tc>
          <w:tcPr>
            <w:tcW w:w="700" w:type="dxa"/>
            <w:tcMar>
              <w:top w:w="0" w:type="dxa"/>
              <w:bottom w:w="0" w:type="dxa"/>
            </w:tcMar>
            <w:vAlign w:val="center"/>
          </w:tcPr>
          <w:p w14:paraId="44AA1149" w14:textId="77777777" w:rsidR="00752880" w:rsidRDefault="00000000">
            <w:pPr>
              <w:keepNext/>
              <w:keepLines/>
              <w:spacing w:after="0" w:line="240" w:lineRule="auto"/>
              <w:jc w:val="right"/>
            </w:pPr>
            <w:r>
              <w:rPr>
                <w:sz w:val="18"/>
              </w:rPr>
              <w:t>149,3</w:t>
            </w:r>
          </w:p>
        </w:tc>
      </w:tr>
      <w:tr w:rsidR="00752880" w14:paraId="7CD581B2" w14:textId="77777777">
        <w:trPr>
          <w:cantSplit/>
          <w:trHeight w:val="560"/>
        </w:trPr>
        <w:tc>
          <w:tcPr>
            <w:tcW w:w="700" w:type="dxa"/>
            <w:tcMar>
              <w:top w:w="0" w:type="dxa"/>
              <w:bottom w:w="0" w:type="dxa"/>
            </w:tcMar>
            <w:vAlign w:val="center"/>
          </w:tcPr>
          <w:p w14:paraId="245BD8BD" w14:textId="77777777" w:rsidR="00752880" w:rsidRDefault="00000000">
            <w:pPr>
              <w:keepNext/>
              <w:keepLines/>
              <w:spacing w:after="0" w:line="240" w:lineRule="auto"/>
            </w:pPr>
            <w:r>
              <w:rPr>
                <w:sz w:val="18"/>
              </w:rPr>
              <w:t>3</w:t>
            </w:r>
          </w:p>
        </w:tc>
        <w:tc>
          <w:tcPr>
            <w:tcW w:w="3180" w:type="dxa"/>
            <w:tcMar>
              <w:top w:w="0" w:type="dxa"/>
              <w:bottom w:w="0" w:type="dxa"/>
            </w:tcMar>
            <w:vAlign w:val="center"/>
          </w:tcPr>
          <w:p w14:paraId="72969549" w14:textId="77777777" w:rsidR="0075288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5EA0E6E" w14:textId="77777777" w:rsidR="00752880" w:rsidRDefault="00000000">
            <w:pPr>
              <w:keepNext/>
              <w:keepLines/>
              <w:spacing w:after="0" w:line="240" w:lineRule="auto"/>
            </w:pPr>
            <w:r>
              <w:rPr>
                <w:sz w:val="18"/>
              </w:rPr>
              <w:t>3</w:t>
            </w:r>
          </w:p>
        </w:tc>
        <w:tc>
          <w:tcPr>
            <w:tcW w:w="1860" w:type="dxa"/>
            <w:tcMar>
              <w:top w:w="0" w:type="dxa"/>
              <w:bottom w:w="0" w:type="dxa"/>
            </w:tcMar>
            <w:vAlign w:val="center"/>
          </w:tcPr>
          <w:p w14:paraId="4F383DA5" w14:textId="77777777" w:rsidR="00752880" w:rsidRDefault="00000000">
            <w:pPr>
              <w:keepNext/>
              <w:keepLines/>
              <w:spacing w:after="0" w:line="240" w:lineRule="auto"/>
              <w:jc w:val="right"/>
            </w:pPr>
            <w:r>
              <w:rPr>
                <w:sz w:val="18"/>
              </w:rPr>
              <w:t>133.369.354,99</w:t>
            </w:r>
          </w:p>
        </w:tc>
        <w:tc>
          <w:tcPr>
            <w:tcW w:w="1860" w:type="dxa"/>
            <w:tcMar>
              <w:top w:w="0" w:type="dxa"/>
              <w:bottom w:w="0" w:type="dxa"/>
            </w:tcMar>
            <w:vAlign w:val="center"/>
          </w:tcPr>
          <w:p w14:paraId="3BA1B8CF" w14:textId="77777777" w:rsidR="00752880" w:rsidRDefault="00000000">
            <w:pPr>
              <w:keepNext/>
              <w:keepLines/>
              <w:spacing w:after="0" w:line="240" w:lineRule="auto"/>
              <w:jc w:val="right"/>
            </w:pPr>
            <w:r>
              <w:rPr>
                <w:sz w:val="18"/>
              </w:rPr>
              <w:t>148.218.309,38</w:t>
            </w:r>
          </w:p>
        </w:tc>
        <w:tc>
          <w:tcPr>
            <w:tcW w:w="700" w:type="dxa"/>
            <w:tcMar>
              <w:top w:w="0" w:type="dxa"/>
              <w:bottom w:w="0" w:type="dxa"/>
            </w:tcMar>
            <w:vAlign w:val="center"/>
          </w:tcPr>
          <w:p w14:paraId="463BBD2F" w14:textId="77777777" w:rsidR="00752880" w:rsidRDefault="00000000">
            <w:pPr>
              <w:keepNext/>
              <w:keepLines/>
              <w:spacing w:after="0" w:line="240" w:lineRule="auto"/>
              <w:jc w:val="right"/>
            </w:pPr>
            <w:r>
              <w:rPr>
                <w:sz w:val="18"/>
              </w:rPr>
              <w:t>111,1</w:t>
            </w:r>
          </w:p>
        </w:tc>
      </w:tr>
      <w:tr w:rsidR="00752880" w14:paraId="58F199EE" w14:textId="77777777">
        <w:trPr>
          <w:cantSplit/>
          <w:trHeight w:val="560"/>
        </w:trPr>
        <w:tc>
          <w:tcPr>
            <w:tcW w:w="700" w:type="dxa"/>
            <w:tcMar>
              <w:top w:w="0" w:type="dxa"/>
              <w:bottom w:w="0" w:type="dxa"/>
            </w:tcMar>
            <w:vAlign w:val="center"/>
          </w:tcPr>
          <w:p w14:paraId="25DD90C3" w14:textId="77777777" w:rsidR="00752880" w:rsidRDefault="00752880">
            <w:pPr>
              <w:keepNext/>
              <w:keepLines/>
              <w:spacing w:after="0" w:line="240" w:lineRule="auto"/>
            </w:pPr>
          </w:p>
        </w:tc>
        <w:tc>
          <w:tcPr>
            <w:tcW w:w="3180" w:type="dxa"/>
            <w:tcMar>
              <w:top w:w="0" w:type="dxa"/>
              <w:bottom w:w="0" w:type="dxa"/>
            </w:tcMar>
            <w:vAlign w:val="center"/>
          </w:tcPr>
          <w:p w14:paraId="40074F7F" w14:textId="77777777" w:rsidR="0075288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3819FFD" w14:textId="77777777" w:rsidR="00752880" w:rsidRDefault="00000000">
            <w:pPr>
              <w:keepNext/>
              <w:keepLines/>
              <w:spacing w:after="0" w:line="240" w:lineRule="auto"/>
            </w:pPr>
            <w:r>
              <w:rPr>
                <w:b/>
                <w:sz w:val="18"/>
              </w:rPr>
              <w:t>X001</w:t>
            </w:r>
          </w:p>
        </w:tc>
        <w:tc>
          <w:tcPr>
            <w:tcW w:w="1860" w:type="dxa"/>
            <w:tcMar>
              <w:top w:w="0" w:type="dxa"/>
              <w:bottom w:w="0" w:type="dxa"/>
            </w:tcMar>
            <w:vAlign w:val="center"/>
          </w:tcPr>
          <w:p w14:paraId="4EE3997B" w14:textId="77777777" w:rsidR="00752880" w:rsidRDefault="00000000">
            <w:pPr>
              <w:keepNext/>
              <w:keepLines/>
              <w:spacing w:after="0" w:line="240" w:lineRule="auto"/>
              <w:jc w:val="right"/>
            </w:pPr>
            <w:r>
              <w:rPr>
                <w:b/>
                <w:sz w:val="18"/>
              </w:rPr>
              <w:t>38.663.998,87</w:t>
            </w:r>
          </w:p>
        </w:tc>
        <w:tc>
          <w:tcPr>
            <w:tcW w:w="1860" w:type="dxa"/>
            <w:tcMar>
              <w:top w:w="0" w:type="dxa"/>
              <w:bottom w:w="0" w:type="dxa"/>
            </w:tcMar>
            <w:vAlign w:val="center"/>
          </w:tcPr>
          <w:p w14:paraId="0C83E52B" w14:textId="77777777" w:rsidR="00752880" w:rsidRDefault="00000000">
            <w:pPr>
              <w:keepNext/>
              <w:keepLines/>
              <w:spacing w:after="0" w:line="240" w:lineRule="auto"/>
              <w:jc w:val="right"/>
            </w:pPr>
            <w:r>
              <w:rPr>
                <w:b/>
                <w:sz w:val="18"/>
              </w:rPr>
              <w:t>108.545.913,61</w:t>
            </w:r>
          </w:p>
        </w:tc>
        <w:tc>
          <w:tcPr>
            <w:tcW w:w="700" w:type="dxa"/>
            <w:tcMar>
              <w:top w:w="0" w:type="dxa"/>
              <w:bottom w:w="0" w:type="dxa"/>
            </w:tcMar>
            <w:vAlign w:val="center"/>
          </w:tcPr>
          <w:p w14:paraId="3AFB6229" w14:textId="77777777" w:rsidR="00752880" w:rsidRDefault="00000000">
            <w:pPr>
              <w:keepNext/>
              <w:keepLines/>
              <w:spacing w:after="0" w:line="240" w:lineRule="auto"/>
              <w:jc w:val="right"/>
            </w:pPr>
            <w:r>
              <w:rPr>
                <w:b/>
                <w:sz w:val="18"/>
              </w:rPr>
              <w:t>280,7</w:t>
            </w:r>
          </w:p>
        </w:tc>
      </w:tr>
      <w:tr w:rsidR="00752880" w14:paraId="5EE44756" w14:textId="77777777">
        <w:trPr>
          <w:cantSplit/>
          <w:trHeight w:val="560"/>
        </w:trPr>
        <w:tc>
          <w:tcPr>
            <w:tcW w:w="700" w:type="dxa"/>
            <w:tcMar>
              <w:top w:w="0" w:type="dxa"/>
              <w:bottom w:w="0" w:type="dxa"/>
            </w:tcMar>
            <w:vAlign w:val="center"/>
          </w:tcPr>
          <w:p w14:paraId="47AB33E6" w14:textId="77777777" w:rsidR="00752880" w:rsidRDefault="00000000">
            <w:pPr>
              <w:keepNext/>
              <w:keepLines/>
              <w:spacing w:after="0" w:line="240" w:lineRule="auto"/>
            </w:pPr>
            <w:r>
              <w:rPr>
                <w:sz w:val="18"/>
              </w:rPr>
              <w:t>7</w:t>
            </w:r>
          </w:p>
        </w:tc>
        <w:tc>
          <w:tcPr>
            <w:tcW w:w="3180" w:type="dxa"/>
            <w:tcMar>
              <w:top w:w="0" w:type="dxa"/>
              <w:bottom w:w="0" w:type="dxa"/>
            </w:tcMar>
            <w:vAlign w:val="center"/>
          </w:tcPr>
          <w:p w14:paraId="0DF2E2BD" w14:textId="77777777" w:rsidR="0075288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9F11A84" w14:textId="77777777" w:rsidR="00752880" w:rsidRDefault="00000000">
            <w:pPr>
              <w:keepNext/>
              <w:keepLines/>
              <w:spacing w:after="0" w:line="240" w:lineRule="auto"/>
            </w:pPr>
            <w:r>
              <w:rPr>
                <w:sz w:val="18"/>
              </w:rPr>
              <w:t>7</w:t>
            </w:r>
          </w:p>
        </w:tc>
        <w:tc>
          <w:tcPr>
            <w:tcW w:w="1860" w:type="dxa"/>
            <w:tcMar>
              <w:top w:w="0" w:type="dxa"/>
              <w:bottom w:w="0" w:type="dxa"/>
            </w:tcMar>
            <w:vAlign w:val="center"/>
          </w:tcPr>
          <w:p w14:paraId="71931A15" w14:textId="77777777" w:rsidR="00752880" w:rsidRDefault="00000000">
            <w:pPr>
              <w:keepNext/>
              <w:keepLines/>
              <w:spacing w:after="0" w:line="240" w:lineRule="auto"/>
              <w:jc w:val="right"/>
            </w:pPr>
            <w:r>
              <w:rPr>
                <w:sz w:val="18"/>
              </w:rPr>
              <w:t>0,00</w:t>
            </w:r>
          </w:p>
        </w:tc>
        <w:tc>
          <w:tcPr>
            <w:tcW w:w="1860" w:type="dxa"/>
            <w:tcMar>
              <w:top w:w="0" w:type="dxa"/>
              <w:bottom w:w="0" w:type="dxa"/>
            </w:tcMar>
            <w:vAlign w:val="center"/>
          </w:tcPr>
          <w:p w14:paraId="335C998E" w14:textId="77777777" w:rsidR="00752880" w:rsidRDefault="00000000">
            <w:pPr>
              <w:keepNext/>
              <w:keepLines/>
              <w:spacing w:after="0" w:line="240" w:lineRule="auto"/>
              <w:jc w:val="right"/>
            </w:pPr>
            <w:r>
              <w:rPr>
                <w:sz w:val="18"/>
              </w:rPr>
              <w:t>0,00</w:t>
            </w:r>
          </w:p>
        </w:tc>
        <w:tc>
          <w:tcPr>
            <w:tcW w:w="700" w:type="dxa"/>
            <w:tcMar>
              <w:top w:w="0" w:type="dxa"/>
              <w:bottom w:w="0" w:type="dxa"/>
            </w:tcMar>
            <w:vAlign w:val="center"/>
          </w:tcPr>
          <w:p w14:paraId="027BB53B" w14:textId="77777777" w:rsidR="00752880" w:rsidRDefault="00000000">
            <w:pPr>
              <w:keepNext/>
              <w:keepLines/>
              <w:spacing w:after="0" w:line="240" w:lineRule="auto"/>
              <w:jc w:val="right"/>
            </w:pPr>
            <w:r>
              <w:rPr>
                <w:sz w:val="18"/>
              </w:rPr>
              <w:t>-</w:t>
            </w:r>
          </w:p>
        </w:tc>
      </w:tr>
      <w:tr w:rsidR="00752880" w14:paraId="521E2DDB" w14:textId="77777777">
        <w:trPr>
          <w:cantSplit/>
          <w:trHeight w:val="560"/>
        </w:trPr>
        <w:tc>
          <w:tcPr>
            <w:tcW w:w="700" w:type="dxa"/>
            <w:tcMar>
              <w:top w:w="0" w:type="dxa"/>
              <w:bottom w:w="0" w:type="dxa"/>
            </w:tcMar>
            <w:vAlign w:val="center"/>
          </w:tcPr>
          <w:p w14:paraId="7691A334" w14:textId="77777777" w:rsidR="00752880" w:rsidRDefault="00000000">
            <w:pPr>
              <w:keepNext/>
              <w:keepLines/>
              <w:spacing w:after="0" w:line="240" w:lineRule="auto"/>
            </w:pPr>
            <w:r>
              <w:rPr>
                <w:sz w:val="18"/>
              </w:rPr>
              <w:t>4</w:t>
            </w:r>
          </w:p>
        </w:tc>
        <w:tc>
          <w:tcPr>
            <w:tcW w:w="3180" w:type="dxa"/>
            <w:tcMar>
              <w:top w:w="0" w:type="dxa"/>
              <w:bottom w:w="0" w:type="dxa"/>
            </w:tcMar>
            <w:vAlign w:val="center"/>
          </w:tcPr>
          <w:p w14:paraId="4C2F077D" w14:textId="77777777" w:rsidR="0075288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33F1B27" w14:textId="77777777" w:rsidR="00752880" w:rsidRDefault="00000000">
            <w:pPr>
              <w:keepNext/>
              <w:keepLines/>
              <w:spacing w:after="0" w:line="240" w:lineRule="auto"/>
            </w:pPr>
            <w:r>
              <w:rPr>
                <w:sz w:val="18"/>
              </w:rPr>
              <w:t>4</w:t>
            </w:r>
          </w:p>
        </w:tc>
        <w:tc>
          <w:tcPr>
            <w:tcW w:w="1860" w:type="dxa"/>
            <w:tcMar>
              <w:top w:w="0" w:type="dxa"/>
              <w:bottom w:w="0" w:type="dxa"/>
            </w:tcMar>
            <w:vAlign w:val="center"/>
          </w:tcPr>
          <w:p w14:paraId="670191B7" w14:textId="77777777" w:rsidR="00752880" w:rsidRDefault="00000000">
            <w:pPr>
              <w:keepNext/>
              <w:keepLines/>
              <w:spacing w:after="0" w:line="240" w:lineRule="auto"/>
              <w:jc w:val="right"/>
            </w:pPr>
            <w:r>
              <w:rPr>
                <w:sz w:val="18"/>
              </w:rPr>
              <w:t>36.967.407,87</w:t>
            </w:r>
          </w:p>
        </w:tc>
        <w:tc>
          <w:tcPr>
            <w:tcW w:w="1860" w:type="dxa"/>
            <w:tcMar>
              <w:top w:w="0" w:type="dxa"/>
              <w:bottom w:w="0" w:type="dxa"/>
            </w:tcMar>
            <w:vAlign w:val="center"/>
          </w:tcPr>
          <w:p w14:paraId="423FFE8F" w14:textId="77777777" w:rsidR="00752880" w:rsidRDefault="00000000">
            <w:pPr>
              <w:keepNext/>
              <w:keepLines/>
              <w:spacing w:after="0" w:line="240" w:lineRule="auto"/>
              <w:jc w:val="right"/>
            </w:pPr>
            <w:r>
              <w:rPr>
                <w:sz w:val="18"/>
              </w:rPr>
              <w:t>123.207.410,33</w:t>
            </w:r>
          </w:p>
        </w:tc>
        <w:tc>
          <w:tcPr>
            <w:tcW w:w="700" w:type="dxa"/>
            <w:tcMar>
              <w:top w:w="0" w:type="dxa"/>
              <w:bottom w:w="0" w:type="dxa"/>
            </w:tcMar>
            <w:vAlign w:val="center"/>
          </w:tcPr>
          <w:p w14:paraId="2C158F10" w14:textId="77777777" w:rsidR="00752880" w:rsidRDefault="00000000">
            <w:pPr>
              <w:keepNext/>
              <w:keepLines/>
              <w:spacing w:after="0" w:line="240" w:lineRule="auto"/>
              <w:jc w:val="right"/>
            </w:pPr>
            <w:r>
              <w:rPr>
                <w:sz w:val="18"/>
              </w:rPr>
              <w:t>333,3</w:t>
            </w:r>
          </w:p>
        </w:tc>
      </w:tr>
      <w:tr w:rsidR="00752880" w14:paraId="3D445A44" w14:textId="77777777">
        <w:trPr>
          <w:cantSplit/>
          <w:trHeight w:val="560"/>
        </w:trPr>
        <w:tc>
          <w:tcPr>
            <w:tcW w:w="700" w:type="dxa"/>
            <w:tcMar>
              <w:top w:w="0" w:type="dxa"/>
              <w:bottom w:w="0" w:type="dxa"/>
            </w:tcMar>
            <w:vAlign w:val="center"/>
          </w:tcPr>
          <w:p w14:paraId="6AD20A9D" w14:textId="77777777" w:rsidR="00752880" w:rsidRDefault="00752880">
            <w:pPr>
              <w:keepNext/>
              <w:keepLines/>
              <w:spacing w:after="0" w:line="240" w:lineRule="auto"/>
            </w:pPr>
          </w:p>
        </w:tc>
        <w:tc>
          <w:tcPr>
            <w:tcW w:w="3180" w:type="dxa"/>
            <w:tcMar>
              <w:top w:w="0" w:type="dxa"/>
              <w:bottom w:w="0" w:type="dxa"/>
            </w:tcMar>
            <w:vAlign w:val="center"/>
          </w:tcPr>
          <w:p w14:paraId="16EE23FF" w14:textId="77777777" w:rsidR="0075288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8E7A3F6" w14:textId="77777777" w:rsidR="00752880" w:rsidRDefault="00000000">
            <w:pPr>
              <w:keepNext/>
              <w:keepLines/>
              <w:spacing w:after="0" w:line="240" w:lineRule="auto"/>
            </w:pPr>
            <w:r>
              <w:rPr>
                <w:b/>
                <w:sz w:val="18"/>
              </w:rPr>
              <w:t>Y002</w:t>
            </w:r>
          </w:p>
        </w:tc>
        <w:tc>
          <w:tcPr>
            <w:tcW w:w="1860" w:type="dxa"/>
            <w:tcMar>
              <w:top w:w="0" w:type="dxa"/>
              <w:bottom w:w="0" w:type="dxa"/>
            </w:tcMar>
            <w:vAlign w:val="center"/>
          </w:tcPr>
          <w:p w14:paraId="7989E24A" w14:textId="77777777" w:rsidR="00752880" w:rsidRDefault="00000000">
            <w:pPr>
              <w:keepNext/>
              <w:keepLines/>
              <w:spacing w:after="0" w:line="240" w:lineRule="auto"/>
              <w:jc w:val="right"/>
            </w:pPr>
            <w:r>
              <w:rPr>
                <w:b/>
                <w:sz w:val="18"/>
              </w:rPr>
              <w:t>36.967.407,87</w:t>
            </w:r>
          </w:p>
        </w:tc>
        <w:tc>
          <w:tcPr>
            <w:tcW w:w="1860" w:type="dxa"/>
            <w:tcMar>
              <w:top w:w="0" w:type="dxa"/>
              <w:bottom w:w="0" w:type="dxa"/>
            </w:tcMar>
            <w:vAlign w:val="center"/>
          </w:tcPr>
          <w:p w14:paraId="39BB2D7D" w14:textId="77777777" w:rsidR="00752880" w:rsidRDefault="00000000">
            <w:pPr>
              <w:keepNext/>
              <w:keepLines/>
              <w:spacing w:after="0" w:line="240" w:lineRule="auto"/>
              <w:jc w:val="right"/>
            </w:pPr>
            <w:r>
              <w:rPr>
                <w:b/>
                <w:sz w:val="18"/>
              </w:rPr>
              <w:t>123.207.410,33</w:t>
            </w:r>
          </w:p>
        </w:tc>
        <w:tc>
          <w:tcPr>
            <w:tcW w:w="700" w:type="dxa"/>
            <w:tcMar>
              <w:top w:w="0" w:type="dxa"/>
              <w:bottom w:w="0" w:type="dxa"/>
            </w:tcMar>
            <w:vAlign w:val="center"/>
          </w:tcPr>
          <w:p w14:paraId="5CCCF0F2" w14:textId="77777777" w:rsidR="00752880" w:rsidRDefault="00000000">
            <w:pPr>
              <w:keepNext/>
              <w:keepLines/>
              <w:spacing w:after="0" w:line="240" w:lineRule="auto"/>
              <w:jc w:val="right"/>
            </w:pPr>
            <w:r>
              <w:rPr>
                <w:b/>
                <w:sz w:val="18"/>
              </w:rPr>
              <w:t>333,3</w:t>
            </w:r>
          </w:p>
        </w:tc>
      </w:tr>
      <w:tr w:rsidR="00752880" w14:paraId="29C719A6" w14:textId="77777777">
        <w:trPr>
          <w:cantSplit/>
          <w:trHeight w:val="560"/>
        </w:trPr>
        <w:tc>
          <w:tcPr>
            <w:tcW w:w="700" w:type="dxa"/>
            <w:tcMar>
              <w:top w:w="0" w:type="dxa"/>
              <w:bottom w:w="0" w:type="dxa"/>
            </w:tcMar>
            <w:vAlign w:val="center"/>
          </w:tcPr>
          <w:p w14:paraId="0247C131" w14:textId="77777777" w:rsidR="00752880" w:rsidRDefault="00000000">
            <w:pPr>
              <w:keepNext/>
              <w:keepLines/>
              <w:spacing w:after="0" w:line="240" w:lineRule="auto"/>
            </w:pPr>
            <w:r>
              <w:rPr>
                <w:sz w:val="18"/>
              </w:rPr>
              <w:t>8</w:t>
            </w:r>
          </w:p>
        </w:tc>
        <w:tc>
          <w:tcPr>
            <w:tcW w:w="3180" w:type="dxa"/>
            <w:tcMar>
              <w:top w:w="0" w:type="dxa"/>
              <w:bottom w:w="0" w:type="dxa"/>
            </w:tcMar>
            <w:vAlign w:val="center"/>
          </w:tcPr>
          <w:p w14:paraId="15CB2A27" w14:textId="77777777" w:rsidR="0075288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E1CDA3C" w14:textId="77777777" w:rsidR="00752880" w:rsidRDefault="00000000">
            <w:pPr>
              <w:keepNext/>
              <w:keepLines/>
              <w:spacing w:after="0" w:line="240" w:lineRule="auto"/>
            </w:pPr>
            <w:r>
              <w:rPr>
                <w:sz w:val="18"/>
              </w:rPr>
              <w:t>8</w:t>
            </w:r>
          </w:p>
        </w:tc>
        <w:tc>
          <w:tcPr>
            <w:tcW w:w="1860" w:type="dxa"/>
            <w:tcMar>
              <w:top w:w="0" w:type="dxa"/>
              <w:bottom w:w="0" w:type="dxa"/>
            </w:tcMar>
            <w:vAlign w:val="center"/>
          </w:tcPr>
          <w:p w14:paraId="23ED05E4" w14:textId="77777777" w:rsidR="00752880" w:rsidRDefault="00000000">
            <w:pPr>
              <w:keepNext/>
              <w:keepLines/>
              <w:spacing w:after="0" w:line="240" w:lineRule="auto"/>
              <w:jc w:val="right"/>
            </w:pPr>
            <w:r>
              <w:rPr>
                <w:sz w:val="18"/>
              </w:rPr>
              <w:t>155.289,91</w:t>
            </w:r>
          </w:p>
        </w:tc>
        <w:tc>
          <w:tcPr>
            <w:tcW w:w="1860" w:type="dxa"/>
            <w:tcMar>
              <w:top w:w="0" w:type="dxa"/>
              <w:bottom w:w="0" w:type="dxa"/>
            </w:tcMar>
            <w:vAlign w:val="center"/>
          </w:tcPr>
          <w:p w14:paraId="5707CA5A" w14:textId="77777777" w:rsidR="00752880" w:rsidRDefault="00000000">
            <w:pPr>
              <w:keepNext/>
              <w:keepLines/>
              <w:spacing w:after="0" w:line="240" w:lineRule="auto"/>
              <w:jc w:val="right"/>
            </w:pPr>
            <w:r>
              <w:rPr>
                <w:sz w:val="18"/>
              </w:rPr>
              <w:t>9.689.259,05</w:t>
            </w:r>
          </w:p>
        </w:tc>
        <w:tc>
          <w:tcPr>
            <w:tcW w:w="700" w:type="dxa"/>
            <w:tcMar>
              <w:top w:w="0" w:type="dxa"/>
              <w:bottom w:w="0" w:type="dxa"/>
            </w:tcMar>
            <w:vAlign w:val="center"/>
          </w:tcPr>
          <w:p w14:paraId="60EAC652" w14:textId="77777777" w:rsidR="00752880" w:rsidRDefault="00000000">
            <w:pPr>
              <w:keepNext/>
              <w:keepLines/>
              <w:spacing w:after="0" w:line="240" w:lineRule="auto"/>
              <w:jc w:val="right"/>
            </w:pPr>
            <w:r>
              <w:rPr>
                <w:sz w:val="18"/>
              </w:rPr>
              <w:t>6239,5</w:t>
            </w:r>
          </w:p>
        </w:tc>
      </w:tr>
      <w:tr w:rsidR="00752880" w14:paraId="320EE597" w14:textId="77777777">
        <w:trPr>
          <w:cantSplit/>
          <w:trHeight w:val="560"/>
        </w:trPr>
        <w:tc>
          <w:tcPr>
            <w:tcW w:w="700" w:type="dxa"/>
            <w:tcMar>
              <w:top w:w="0" w:type="dxa"/>
              <w:bottom w:w="0" w:type="dxa"/>
            </w:tcMar>
            <w:vAlign w:val="center"/>
          </w:tcPr>
          <w:p w14:paraId="562FB152" w14:textId="77777777" w:rsidR="00752880" w:rsidRDefault="00000000">
            <w:pPr>
              <w:keepNext/>
              <w:keepLines/>
              <w:spacing w:after="0" w:line="240" w:lineRule="auto"/>
            </w:pPr>
            <w:r>
              <w:rPr>
                <w:sz w:val="18"/>
              </w:rPr>
              <w:t>5</w:t>
            </w:r>
          </w:p>
        </w:tc>
        <w:tc>
          <w:tcPr>
            <w:tcW w:w="3180" w:type="dxa"/>
            <w:tcMar>
              <w:top w:w="0" w:type="dxa"/>
              <w:bottom w:w="0" w:type="dxa"/>
            </w:tcMar>
            <w:vAlign w:val="center"/>
          </w:tcPr>
          <w:p w14:paraId="7EB28395" w14:textId="77777777" w:rsidR="0075288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16EE171" w14:textId="77777777" w:rsidR="00752880" w:rsidRDefault="00000000">
            <w:pPr>
              <w:keepNext/>
              <w:keepLines/>
              <w:spacing w:after="0" w:line="240" w:lineRule="auto"/>
            </w:pPr>
            <w:r>
              <w:rPr>
                <w:sz w:val="18"/>
              </w:rPr>
              <w:t>5</w:t>
            </w:r>
          </w:p>
        </w:tc>
        <w:tc>
          <w:tcPr>
            <w:tcW w:w="1860" w:type="dxa"/>
            <w:tcMar>
              <w:top w:w="0" w:type="dxa"/>
              <w:bottom w:w="0" w:type="dxa"/>
            </w:tcMar>
            <w:vAlign w:val="center"/>
          </w:tcPr>
          <w:p w14:paraId="35CB7EB3" w14:textId="77777777" w:rsidR="00752880" w:rsidRDefault="00000000">
            <w:pPr>
              <w:keepNext/>
              <w:keepLines/>
              <w:spacing w:after="0" w:line="240" w:lineRule="auto"/>
              <w:jc w:val="right"/>
            </w:pPr>
            <w:r>
              <w:rPr>
                <w:sz w:val="18"/>
              </w:rPr>
              <w:t>155.289,91</w:t>
            </w:r>
          </w:p>
        </w:tc>
        <w:tc>
          <w:tcPr>
            <w:tcW w:w="1860" w:type="dxa"/>
            <w:tcMar>
              <w:top w:w="0" w:type="dxa"/>
              <w:bottom w:w="0" w:type="dxa"/>
            </w:tcMar>
            <w:vAlign w:val="center"/>
          </w:tcPr>
          <w:p w14:paraId="5AC859EA" w14:textId="77777777" w:rsidR="00752880" w:rsidRDefault="00000000">
            <w:pPr>
              <w:keepNext/>
              <w:keepLines/>
              <w:spacing w:after="0" w:line="240" w:lineRule="auto"/>
              <w:jc w:val="right"/>
            </w:pPr>
            <w:r>
              <w:rPr>
                <w:sz w:val="18"/>
              </w:rPr>
              <w:t>430.004,77</w:t>
            </w:r>
          </w:p>
        </w:tc>
        <w:tc>
          <w:tcPr>
            <w:tcW w:w="700" w:type="dxa"/>
            <w:tcMar>
              <w:top w:w="0" w:type="dxa"/>
              <w:bottom w:w="0" w:type="dxa"/>
            </w:tcMar>
            <w:vAlign w:val="center"/>
          </w:tcPr>
          <w:p w14:paraId="532E4B63" w14:textId="77777777" w:rsidR="00752880" w:rsidRDefault="00000000">
            <w:pPr>
              <w:keepNext/>
              <w:keepLines/>
              <w:spacing w:after="0" w:line="240" w:lineRule="auto"/>
              <w:jc w:val="right"/>
            </w:pPr>
            <w:r>
              <w:rPr>
                <w:sz w:val="18"/>
              </w:rPr>
              <w:t>276,9</w:t>
            </w:r>
          </w:p>
        </w:tc>
      </w:tr>
      <w:tr w:rsidR="00752880" w14:paraId="5DEF2FC9" w14:textId="77777777">
        <w:trPr>
          <w:cantSplit/>
          <w:trHeight w:val="560"/>
        </w:trPr>
        <w:tc>
          <w:tcPr>
            <w:tcW w:w="700" w:type="dxa"/>
            <w:tcMar>
              <w:top w:w="0" w:type="dxa"/>
              <w:bottom w:w="0" w:type="dxa"/>
            </w:tcMar>
            <w:vAlign w:val="center"/>
          </w:tcPr>
          <w:p w14:paraId="008A966B" w14:textId="77777777" w:rsidR="00752880" w:rsidRDefault="00752880">
            <w:pPr>
              <w:keepNext/>
              <w:keepLines/>
              <w:spacing w:after="0" w:line="240" w:lineRule="auto"/>
            </w:pPr>
          </w:p>
        </w:tc>
        <w:tc>
          <w:tcPr>
            <w:tcW w:w="3180" w:type="dxa"/>
            <w:tcMar>
              <w:top w:w="0" w:type="dxa"/>
              <w:bottom w:w="0" w:type="dxa"/>
            </w:tcMar>
            <w:vAlign w:val="center"/>
          </w:tcPr>
          <w:p w14:paraId="5FB94210" w14:textId="77777777" w:rsidR="00752880"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61284CAF" w14:textId="77777777" w:rsidR="00752880" w:rsidRDefault="00000000">
            <w:pPr>
              <w:keepNext/>
              <w:keepLines/>
              <w:spacing w:after="0" w:line="240" w:lineRule="auto"/>
            </w:pPr>
            <w:r>
              <w:rPr>
                <w:b/>
                <w:sz w:val="18"/>
              </w:rPr>
              <w:t>X003</w:t>
            </w:r>
          </w:p>
        </w:tc>
        <w:tc>
          <w:tcPr>
            <w:tcW w:w="1860" w:type="dxa"/>
            <w:tcMar>
              <w:top w:w="0" w:type="dxa"/>
              <w:bottom w:w="0" w:type="dxa"/>
            </w:tcMar>
            <w:vAlign w:val="center"/>
          </w:tcPr>
          <w:p w14:paraId="6212B7F4" w14:textId="77777777" w:rsidR="00752880" w:rsidRDefault="00000000">
            <w:pPr>
              <w:keepNext/>
              <w:keepLines/>
              <w:spacing w:after="0" w:line="240" w:lineRule="auto"/>
              <w:jc w:val="right"/>
            </w:pPr>
            <w:r>
              <w:rPr>
                <w:b/>
                <w:sz w:val="18"/>
              </w:rPr>
              <w:t>0,00</w:t>
            </w:r>
          </w:p>
        </w:tc>
        <w:tc>
          <w:tcPr>
            <w:tcW w:w="1860" w:type="dxa"/>
            <w:tcMar>
              <w:top w:w="0" w:type="dxa"/>
              <w:bottom w:w="0" w:type="dxa"/>
            </w:tcMar>
            <w:vAlign w:val="center"/>
          </w:tcPr>
          <w:p w14:paraId="0327F871" w14:textId="77777777" w:rsidR="00752880" w:rsidRDefault="00000000">
            <w:pPr>
              <w:keepNext/>
              <w:keepLines/>
              <w:spacing w:after="0" w:line="240" w:lineRule="auto"/>
              <w:jc w:val="right"/>
            </w:pPr>
            <w:r>
              <w:rPr>
                <w:b/>
                <w:sz w:val="18"/>
              </w:rPr>
              <w:t>9.259.254,28</w:t>
            </w:r>
          </w:p>
        </w:tc>
        <w:tc>
          <w:tcPr>
            <w:tcW w:w="700" w:type="dxa"/>
            <w:tcMar>
              <w:top w:w="0" w:type="dxa"/>
              <w:bottom w:w="0" w:type="dxa"/>
            </w:tcMar>
            <w:vAlign w:val="center"/>
          </w:tcPr>
          <w:p w14:paraId="2F72B0A3" w14:textId="77777777" w:rsidR="00752880" w:rsidRDefault="00000000">
            <w:pPr>
              <w:keepNext/>
              <w:keepLines/>
              <w:spacing w:after="0" w:line="240" w:lineRule="auto"/>
              <w:jc w:val="right"/>
            </w:pPr>
            <w:r>
              <w:rPr>
                <w:b/>
                <w:sz w:val="18"/>
              </w:rPr>
              <w:t>-</w:t>
            </w:r>
          </w:p>
        </w:tc>
      </w:tr>
      <w:tr w:rsidR="00752880" w14:paraId="4E7EED82" w14:textId="77777777">
        <w:trPr>
          <w:cantSplit/>
          <w:trHeight w:val="560"/>
        </w:trPr>
        <w:tc>
          <w:tcPr>
            <w:tcW w:w="700" w:type="dxa"/>
            <w:tcMar>
              <w:top w:w="0" w:type="dxa"/>
              <w:bottom w:w="0" w:type="dxa"/>
            </w:tcMar>
            <w:vAlign w:val="center"/>
          </w:tcPr>
          <w:p w14:paraId="3C09294E" w14:textId="77777777" w:rsidR="00752880" w:rsidRDefault="00752880">
            <w:pPr>
              <w:keepNext/>
              <w:keepLines/>
              <w:spacing w:after="0" w:line="240" w:lineRule="auto"/>
            </w:pPr>
          </w:p>
        </w:tc>
        <w:tc>
          <w:tcPr>
            <w:tcW w:w="3180" w:type="dxa"/>
            <w:tcMar>
              <w:top w:w="0" w:type="dxa"/>
              <w:bottom w:w="0" w:type="dxa"/>
            </w:tcMar>
            <w:vAlign w:val="center"/>
          </w:tcPr>
          <w:p w14:paraId="468275C5" w14:textId="77777777" w:rsidR="00752880"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5ECD7A4" w14:textId="77777777" w:rsidR="00752880" w:rsidRDefault="00000000">
            <w:pPr>
              <w:keepNext/>
              <w:keepLines/>
              <w:spacing w:after="0" w:line="240" w:lineRule="auto"/>
            </w:pPr>
            <w:r>
              <w:rPr>
                <w:b/>
                <w:sz w:val="18"/>
              </w:rPr>
              <w:t>Y005</w:t>
            </w:r>
          </w:p>
        </w:tc>
        <w:tc>
          <w:tcPr>
            <w:tcW w:w="1860" w:type="dxa"/>
            <w:tcMar>
              <w:top w:w="0" w:type="dxa"/>
              <w:bottom w:w="0" w:type="dxa"/>
            </w:tcMar>
            <w:vAlign w:val="center"/>
          </w:tcPr>
          <w:p w14:paraId="3A197696" w14:textId="77777777" w:rsidR="00752880" w:rsidRDefault="00000000">
            <w:pPr>
              <w:keepNext/>
              <w:keepLines/>
              <w:spacing w:after="0" w:line="240" w:lineRule="auto"/>
              <w:jc w:val="right"/>
            </w:pPr>
            <w:r>
              <w:rPr>
                <w:b/>
                <w:sz w:val="18"/>
              </w:rPr>
              <w:t>0,00</w:t>
            </w:r>
          </w:p>
        </w:tc>
        <w:tc>
          <w:tcPr>
            <w:tcW w:w="1860" w:type="dxa"/>
            <w:tcMar>
              <w:top w:w="0" w:type="dxa"/>
              <w:bottom w:w="0" w:type="dxa"/>
            </w:tcMar>
            <w:vAlign w:val="center"/>
          </w:tcPr>
          <w:p w14:paraId="7DE72152" w14:textId="77777777" w:rsidR="00752880" w:rsidRDefault="00000000">
            <w:pPr>
              <w:keepNext/>
              <w:keepLines/>
              <w:spacing w:after="0" w:line="240" w:lineRule="auto"/>
              <w:jc w:val="right"/>
            </w:pPr>
            <w:r>
              <w:rPr>
                <w:b/>
                <w:sz w:val="18"/>
              </w:rPr>
              <w:t>5.402.242,44</w:t>
            </w:r>
          </w:p>
        </w:tc>
        <w:tc>
          <w:tcPr>
            <w:tcW w:w="700" w:type="dxa"/>
            <w:tcMar>
              <w:top w:w="0" w:type="dxa"/>
              <w:bottom w:w="0" w:type="dxa"/>
            </w:tcMar>
            <w:vAlign w:val="center"/>
          </w:tcPr>
          <w:p w14:paraId="26F635E9" w14:textId="77777777" w:rsidR="00752880" w:rsidRDefault="00000000">
            <w:pPr>
              <w:keepNext/>
              <w:keepLines/>
              <w:spacing w:after="0" w:line="240" w:lineRule="auto"/>
              <w:jc w:val="right"/>
            </w:pPr>
            <w:r>
              <w:rPr>
                <w:b/>
                <w:sz w:val="18"/>
              </w:rPr>
              <w:t>-</w:t>
            </w:r>
          </w:p>
        </w:tc>
      </w:tr>
    </w:tbl>
    <w:p w14:paraId="766A611A" w14:textId="77777777" w:rsidR="00752880" w:rsidRDefault="00752880">
      <w:pPr>
        <w:spacing w:after="0"/>
      </w:pPr>
    </w:p>
    <w:p w14:paraId="6A1C0A38" w14:textId="77777777" w:rsidR="00752880" w:rsidRDefault="00000000" w:rsidP="00487B9C">
      <w:pPr>
        <w:jc w:val="both"/>
      </w:pPr>
      <w:r>
        <w:t xml:space="preserve">Ukupni prihodi poslovanja u iznosu od 256.764.222,99 eura odnose se na skupinu - 63 u iznosu od 68.698,94 eura, skupinu 64 u iznosu od 35.219,07 eura, skupinu 65 u iznosu od 1.472.689,14 eura, vlastite prihode u iznosu od 8.236.67 eura te skupinu 67 - prihodi iz nadležnog proračuna u iznosu od 255.179.379,17 eura od čega prihodi za financiranje rashoda poslovanja iznose 139.564.076,24 eura i prihodi za financiranje rashoda nefinancijske imovine iznose 115.615.302,93 eura. Ukupni rashodi poslovanja iznose 148.218.309,38 eura. Veće razlike u </w:t>
      </w:r>
      <w:r>
        <w:lastRenderedPageBreak/>
        <w:t xml:space="preserve">odnosu na 2024. godinu odnosi se na skupinu 31, za 24%, zbog povećanja broja državnih službenika i namještenika kao i povećanja koeficijenata državnih službenika i namještenika i državnih dužnosnika, te troška plaće iz prosinca 2025. koja se evidentira na razredu skupine 3 a ne više na 193.  Skupina 32 - materijalni rashodi veći su za 19% u odnosu na 2024. godinu zbog preuzetih poslova i ugovora od SDURDD sukladno Zakonu o izmjenama i dopunama zakona o ustrojstvu i djelokrugu državne uprave (NN57/2024). Rashodi za nabavu nefinancijske imovine iznose 123.207.410,33 eura. Veća odstupanja su zbog nabave licenci za novo trogodišnje tehnološko održavanje platforme CDU. Na skupini 42 veće odstupanje se odnosi na nabavu opreme za uspostavu </w:t>
      </w:r>
      <w:proofErr w:type="spellStart"/>
      <w:r>
        <w:t>jezgrenog</w:t>
      </w:r>
      <w:proofErr w:type="spellEnd"/>
      <w:r>
        <w:t xml:space="preserve"> dijela mreže u sklopu projekta Ulaganje u mreže državne informacijske infrastrukture, nabava mrežne opreme unutar projekta Stabilna i otporna IT infrastruktura informacijskog sustava pravosuđa, kao i nadogradnje u računalne programe raznih platformi Ministarstva. Primici od financijske imovine odnose se na uplatu zajma IBRD te zajma od financijskih institucija izvan javnog sektora a odnosi se na otplatu zajma financijskog leasinga (kombi vozila zatvorskog sustava). </w:t>
      </w:r>
    </w:p>
    <w:p w14:paraId="50C0F636" w14:textId="77777777" w:rsidR="00752880" w:rsidRDefault="00000000">
      <w:r>
        <w:br/>
      </w:r>
    </w:p>
    <w:p w14:paraId="15B256BA" w14:textId="77777777" w:rsidR="00752880" w:rsidRDefault="00000000">
      <w:pPr>
        <w:keepNext/>
        <w:spacing w:line="240" w:lineRule="auto"/>
        <w:jc w:val="center"/>
      </w:pPr>
      <w:r>
        <w:rPr>
          <w:b/>
          <w:sz w:val="28"/>
        </w:rPr>
        <w:t>Izvještaj o obvezama</w:t>
      </w:r>
    </w:p>
    <w:p w14:paraId="75B5E0A1" w14:textId="77777777" w:rsidR="0075288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52880" w14:paraId="1DC80149" w14:textId="77777777">
        <w:trPr>
          <w:cantSplit/>
        </w:trPr>
        <w:tc>
          <w:tcPr>
            <w:tcW w:w="700" w:type="dxa"/>
            <w:shd w:val="clear" w:color="auto" w:fill="E7F0F9"/>
            <w:tcMar>
              <w:top w:w="0" w:type="dxa"/>
              <w:bottom w:w="0" w:type="dxa"/>
            </w:tcMar>
            <w:vAlign w:val="center"/>
          </w:tcPr>
          <w:p w14:paraId="5D777021" w14:textId="77777777" w:rsidR="007528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1594B4" w14:textId="77777777" w:rsidR="007528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69AC1" w14:textId="77777777" w:rsidR="007528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9B9E06" w14:textId="77777777" w:rsidR="0075288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0A4A0F" w14:textId="77777777" w:rsidR="00752880" w:rsidRDefault="00000000">
            <w:pPr>
              <w:keepNext/>
              <w:keepLines/>
              <w:spacing w:after="0" w:line="240" w:lineRule="auto"/>
              <w:jc w:val="center"/>
            </w:pPr>
            <w:r>
              <w:rPr>
                <w:b/>
                <w:sz w:val="18"/>
              </w:rPr>
              <w:t>Indeks (%)</w:t>
            </w:r>
          </w:p>
        </w:tc>
      </w:tr>
      <w:tr w:rsidR="00752880" w14:paraId="0C74BEFB" w14:textId="77777777">
        <w:trPr>
          <w:cantSplit/>
          <w:trHeight w:val="560"/>
        </w:trPr>
        <w:tc>
          <w:tcPr>
            <w:tcW w:w="700" w:type="dxa"/>
            <w:tcMar>
              <w:top w:w="0" w:type="dxa"/>
              <w:bottom w:w="0" w:type="dxa"/>
            </w:tcMar>
            <w:vAlign w:val="center"/>
          </w:tcPr>
          <w:p w14:paraId="1CE60D36" w14:textId="77777777" w:rsidR="00752880" w:rsidRDefault="00752880">
            <w:pPr>
              <w:keepNext/>
              <w:keepLines/>
              <w:spacing w:after="0" w:line="240" w:lineRule="auto"/>
            </w:pPr>
          </w:p>
        </w:tc>
        <w:tc>
          <w:tcPr>
            <w:tcW w:w="3180" w:type="dxa"/>
            <w:tcMar>
              <w:top w:w="0" w:type="dxa"/>
              <w:bottom w:w="0" w:type="dxa"/>
            </w:tcMar>
            <w:vAlign w:val="center"/>
          </w:tcPr>
          <w:p w14:paraId="4095933B" w14:textId="77777777" w:rsidR="0075288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53E0444" w14:textId="77777777" w:rsidR="00752880" w:rsidRDefault="00000000">
            <w:pPr>
              <w:keepNext/>
              <w:keepLines/>
              <w:spacing w:after="0" w:line="240" w:lineRule="auto"/>
            </w:pPr>
            <w:r>
              <w:rPr>
                <w:sz w:val="18"/>
              </w:rPr>
              <w:t>V007</w:t>
            </w:r>
          </w:p>
        </w:tc>
        <w:tc>
          <w:tcPr>
            <w:tcW w:w="1860" w:type="dxa"/>
            <w:tcMar>
              <w:top w:w="0" w:type="dxa"/>
              <w:bottom w:w="0" w:type="dxa"/>
            </w:tcMar>
            <w:vAlign w:val="center"/>
          </w:tcPr>
          <w:p w14:paraId="773689A1" w14:textId="77777777" w:rsidR="00752880" w:rsidRDefault="00000000">
            <w:pPr>
              <w:keepNext/>
              <w:keepLines/>
              <w:spacing w:after="0" w:line="240" w:lineRule="auto"/>
              <w:jc w:val="right"/>
            </w:pPr>
            <w:r>
              <w:rPr>
                <w:sz w:val="18"/>
              </w:rPr>
              <w:t>120.949,53</w:t>
            </w:r>
          </w:p>
        </w:tc>
        <w:tc>
          <w:tcPr>
            <w:tcW w:w="700" w:type="dxa"/>
            <w:tcMar>
              <w:top w:w="0" w:type="dxa"/>
              <w:bottom w:w="0" w:type="dxa"/>
            </w:tcMar>
            <w:vAlign w:val="center"/>
          </w:tcPr>
          <w:p w14:paraId="024AD908" w14:textId="77777777" w:rsidR="00752880" w:rsidRDefault="00000000">
            <w:pPr>
              <w:keepNext/>
              <w:keepLines/>
              <w:spacing w:after="0" w:line="240" w:lineRule="auto"/>
              <w:jc w:val="right"/>
            </w:pPr>
            <w:r>
              <w:rPr>
                <w:sz w:val="18"/>
              </w:rPr>
              <w:t>-</w:t>
            </w:r>
          </w:p>
        </w:tc>
      </w:tr>
    </w:tbl>
    <w:p w14:paraId="75CF6A11" w14:textId="77777777" w:rsidR="00752880" w:rsidRDefault="00752880">
      <w:pPr>
        <w:spacing w:after="0"/>
      </w:pPr>
    </w:p>
    <w:p w14:paraId="3124F891" w14:textId="77777777" w:rsidR="00752880" w:rsidRDefault="00000000">
      <w:r>
        <w:t>Dospjele obveze u iznosu od 120.949,53 eura odnosi se na račune koji nisu prošli proceduru odobrenja do datuma valute te će biti plaćeni u siječnju 2026.godine.</w:t>
      </w:r>
    </w:p>
    <w:p w14:paraId="72609AAE" w14:textId="77777777" w:rsidR="00752880" w:rsidRDefault="00752880"/>
    <w:p w14:paraId="7F1AF467" w14:textId="77777777" w:rsidR="00752880" w:rsidRDefault="00000000">
      <w:pPr>
        <w:keepNext/>
        <w:spacing w:line="240" w:lineRule="auto"/>
        <w:jc w:val="center"/>
      </w:pPr>
      <w:r>
        <w:rPr>
          <w:sz w:val="28"/>
        </w:rPr>
        <w:t>Bilješka 3.</w:t>
      </w:r>
    </w:p>
    <w:p w14:paraId="481F0289" w14:textId="77777777" w:rsidR="00752880" w:rsidRDefault="00000000">
      <w:pPr>
        <w:spacing w:line="240" w:lineRule="auto"/>
        <w:jc w:val="both"/>
      </w:pPr>
      <w:r>
        <w:rPr>
          <w:b/>
        </w:rPr>
        <w:t>EU izvještaj</w:t>
      </w:r>
    </w:p>
    <w:p w14:paraId="68B129FE" w14:textId="77777777" w:rsidR="00752880" w:rsidRDefault="00000000" w:rsidP="00487B9C">
      <w:pPr>
        <w:jc w:val="both"/>
      </w:pPr>
      <w:r>
        <w:t xml:space="preserve">Na izvoru 581 - veće odstupanje na razredu 4 - 42 - nabava nefinancijske imovine  zbog nabave opreme za uspostavu </w:t>
      </w:r>
      <w:proofErr w:type="spellStart"/>
      <w:r>
        <w:t>jezgrenog</w:t>
      </w:r>
      <w:proofErr w:type="spellEnd"/>
      <w:r>
        <w:t xml:space="preserve"> dijela mreže u sklopu projekta Ulaganje u mreže državne informacijske infrastrukture, nabava mrežne opreme unutar projekta Stabilna i otporna IT infrastruktura informacijskog sustava pravosuđa, kao i na 451 - dodatna ulaganja na građevinskim objektima na Trgu pravde.</w:t>
      </w:r>
    </w:p>
    <w:p w14:paraId="6FA4E883" w14:textId="77777777" w:rsidR="00752880" w:rsidRDefault="00000000" w:rsidP="00487B9C">
      <w:pPr>
        <w:jc w:val="both"/>
      </w:pPr>
      <w:r>
        <w:t>Na izvoru 581 - veće odstupanje na razredu 4 je zbog energetske obnove kaznenih tijela i obnova korisnika i kaznenih tijela financiranih iz Fonda solidarnosti.</w:t>
      </w:r>
    </w:p>
    <w:p w14:paraId="2478D15E" w14:textId="77777777" w:rsidR="00752880" w:rsidRDefault="00752880"/>
    <w:sectPr w:rsidR="00752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80"/>
    <w:rsid w:val="00487B9C"/>
    <w:rsid w:val="00752880"/>
    <w:rsid w:val="00C135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03C7"/>
  <w15:docId w15:val="{6248BF6D-E827-4C71-BD42-522591D7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Carić Jugović</dc:creator>
  <cp:lastModifiedBy>Maja Carić Jugović</cp:lastModifiedBy>
  <cp:revision>3</cp:revision>
  <dcterms:created xsi:type="dcterms:W3CDTF">2026-02-02T12:27:00Z</dcterms:created>
  <dcterms:modified xsi:type="dcterms:W3CDTF">2026-02-10T13:23:00Z</dcterms:modified>
</cp:coreProperties>
</file>